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A5" w:rsidRDefault="00BB4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EA5" w:rsidRDefault="00BB4EA5">
      <w:pPr>
        <w:pStyle w:val="ConsPlusNormal"/>
        <w:jc w:val="both"/>
        <w:outlineLvl w:val="0"/>
      </w:pPr>
    </w:p>
    <w:p w:rsidR="00BB4EA5" w:rsidRDefault="00BB4EA5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BB4EA5" w:rsidRDefault="00BB4EA5">
      <w:pPr>
        <w:pStyle w:val="ConsPlusTitle"/>
        <w:jc w:val="both"/>
      </w:pPr>
    </w:p>
    <w:p w:rsidR="00BB4EA5" w:rsidRDefault="00BB4EA5">
      <w:pPr>
        <w:pStyle w:val="ConsPlusTitle"/>
        <w:jc w:val="center"/>
      </w:pPr>
      <w:r>
        <w:t>ПОСТАНОВЛЕНИЕ</w:t>
      </w:r>
    </w:p>
    <w:p w:rsidR="00BB4EA5" w:rsidRDefault="00BB4EA5">
      <w:pPr>
        <w:pStyle w:val="ConsPlusTitle"/>
        <w:jc w:val="center"/>
      </w:pPr>
      <w:r>
        <w:t>от 23 августа 2018 г. N 2514</w:t>
      </w:r>
    </w:p>
    <w:p w:rsidR="00BB4EA5" w:rsidRDefault="00BB4EA5">
      <w:pPr>
        <w:pStyle w:val="ConsPlusTitle"/>
        <w:jc w:val="both"/>
      </w:pPr>
    </w:p>
    <w:p w:rsidR="00BB4EA5" w:rsidRDefault="00BB4EA5">
      <w:pPr>
        <w:pStyle w:val="ConsPlusTitle"/>
        <w:jc w:val="center"/>
      </w:pPr>
      <w:r>
        <w:t>ОБ УТВЕРЖДЕНИИ ЭСТЕТИЧЕСКОГО РЕГЛАМЕНТА</w:t>
      </w:r>
    </w:p>
    <w:p w:rsidR="00BB4EA5" w:rsidRDefault="00BB4E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EA5" w:rsidRDefault="00BB4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EA5" w:rsidRDefault="00BB4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B4EA5" w:rsidRDefault="00BB4EA5">
            <w:pPr>
              <w:pStyle w:val="ConsPlusNormal"/>
              <w:jc w:val="center"/>
            </w:pPr>
            <w:r>
              <w:rPr>
                <w:color w:val="392C69"/>
              </w:rPr>
              <w:t>от 19.12.2018 N 3897)</w:t>
            </w:r>
          </w:p>
        </w:tc>
      </w:tr>
    </w:tbl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8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31.05.2018 N 322 "О Правилах благоустройства территории городского округа город Рыбинск",</w:t>
      </w:r>
    </w:p>
    <w:p w:rsidR="00BB4EA5" w:rsidRDefault="00BB4EA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19.12.2018 N 3897)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>ПОСТАНОВЛЯЮ: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 xml:space="preserve">1. Утвердить Эстетический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оформления и эксплуатации витрин предприятий потребительского рынка на территории городского округа город Рыбинск (приложение).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 xml:space="preserve">2. Установить, что лица, осуществляющие предпринимательскую деятельность на территории городского округа город Рыбинск, обязаны привести витрины предприятий потребительского рынка в соответствие с Эстетическим </w:t>
      </w:r>
      <w:hyperlink w:anchor="P39" w:history="1">
        <w:r>
          <w:rPr>
            <w:color w:val="0000FF"/>
          </w:rPr>
          <w:t>регламентом</w:t>
        </w:r>
      </w:hyperlink>
      <w:r>
        <w:t xml:space="preserve"> в течение одного месяца с момента опубликования настоящего постановления.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3</w:t>
        </w:r>
      </w:hyperlink>
      <w:r>
        <w:t>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4</w:t>
        </w:r>
      </w:hyperlink>
      <w:r>
        <w:t>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right"/>
      </w:pPr>
      <w:r>
        <w:t>И.о. Главы</w:t>
      </w:r>
    </w:p>
    <w:p w:rsidR="00BB4EA5" w:rsidRDefault="00BB4EA5">
      <w:pPr>
        <w:pStyle w:val="ConsPlusNormal"/>
        <w:jc w:val="right"/>
      </w:pPr>
      <w:r>
        <w:t>городского округа</w:t>
      </w:r>
    </w:p>
    <w:p w:rsidR="00BB4EA5" w:rsidRDefault="00BB4EA5">
      <w:pPr>
        <w:pStyle w:val="ConsPlusNormal"/>
        <w:jc w:val="right"/>
      </w:pPr>
      <w:r>
        <w:lastRenderedPageBreak/>
        <w:t>город Рыбинск</w:t>
      </w:r>
    </w:p>
    <w:p w:rsidR="00BB4EA5" w:rsidRDefault="00BB4EA5">
      <w:pPr>
        <w:pStyle w:val="ConsPlusNormal"/>
        <w:jc w:val="right"/>
      </w:pPr>
      <w:r>
        <w:t>Д.С.РУДАКОВ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right"/>
        <w:outlineLvl w:val="0"/>
      </w:pPr>
      <w:r>
        <w:t>Приложение</w:t>
      </w:r>
    </w:p>
    <w:p w:rsidR="00BB4EA5" w:rsidRDefault="00BB4EA5">
      <w:pPr>
        <w:pStyle w:val="ConsPlusNormal"/>
        <w:jc w:val="right"/>
      </w:pPr>
      <w:r>
        <w:t>к постановлению</w:t>
      </w:r>
    </w:p>
    <w:p w:rsidR="00BB4EA5" w:rsidRDefault="00BB4EA5">
      <w:pPr>
        <w:pStyle w:val="ConsPlusNormal"/>
        <w:jc w:val="right"/>
      </w:pPr>
      <w:r>
        <w:t>Администрации городского</w:t>
      </w:r>
    </w:p>
    <w:p w:rsidR="00BB4EA5" w:rsidRDefault="00BB4EA5">
      <w:pPr>
        <w:pStyle w:val="ConsPlusNormal"/>
        <w:jc w:val="right"/>
      </w:pPr>
      <w:r>
        <w:t>округа город Рыбинск</w:t>
      </w:r>
    </w:p>
    <w:p w:rsidR="00BB4EA5" w:rsidRDefault="00BB4EA5">
      <w:pPr>
        <w:pStyle w:val="ConsPlusNormal"/>
        <w:jc w:val="right"/>
      </w:pPr>
      <w:r>
        <w:t>от 23.08.2018 N 2514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Title"/>
        <w:jc w:val="center"/>
      </w:pPr>
      <w:bookmarkStart w:id="0" w:name="P39"/>
      <w:bookmarkEnd w:id="0"/>
      <w:r>
        <w:t>ЭСТЕТИЧЕСКИЙ РЕГЛАМЕНТ</w:t>
      </w:r>
    </w:p>
    <w:p w:rsidR="00BB4EA5" w:rsidRDefault="00BB4EA5">
      <w:pPr>
        <w:pStyle w:val="ConsPlusTitle"/>
        <w:jc w:val="center"/>
      </w:pPr>
      <w:r>
        <w:t>ОФОРМЛЕНИЯ И ЭКСПЛУАТАЦИИ ВИТРИН ПРЕДПРИЯТИЙ</w:t>
      </w:r>
    </w:p>
    <w:p w:rsidR="00BB4EA5" w:rsidRDefault="00BB4EA5">
      <w:pPr>
        <w:pStyle w:val="ConsPlusTitle"/>
        <w:jc w:val="center"/>
      </w:pPr>
      <w:r>
        <w:t>ПОТРЕБИТЕЛЬСКОГО РЫНКА НА ТЕРРИТОРИИ ГОРОДСКОГО</w:t>
      </w:r>
    </w:p>
    <w:p w:rsidR="00BB4EA5" w:rsidRDefault="00BB4EA5">
      <w:pPr>
        <w:pStyle w:val="ConsPlusTitle"/>
        <w:jc w:val="center"/>
      </w:pPr>
      <w:r>
        <w:t>ОКРУГА ГОРОД РЫБИНСК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Title"/>
        <w:ind w:firstLine="540"/>
        <w:jc w:val="both"/>
        <w:outlineLvl w:val="1"/>
      </w:pPr>
      <w:r>
        <w:t>1. Основные положения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>1.1. Эстетический регламент оформления и эксплуатации витрин предприятий потребительского рынка городского округа город Рыбинск (далее - Эстетический регламент) разработан в целях улучшения декоративно-художественного и архитектурного облика городского округа город Рыбинск.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1.2. Требования Эстетического регламента распространяются на предприятия потребительского рынка, осуществляющие свою деятельность на территории городского округа город Рыбинск, имеющие на праве собственности или аренды движимое и недвижимое имущество: здания, строения, сооружения, в т.ч. встроенно-пристроенные, временные строения и сооружения, магазины, рынки, торговые центры, объекты общественного питания, бытового обслуживания, объекты придорожного сервиса, туристического сервиса (далее по тексту - предприятия).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1.3. Требования Эстетического регламента обязательны к исполнению юридическими и физическими лицами, осуществляющими свою деятельность на территории городского округа город Рыбинск.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Title"/>
        <w:ind w:firstLine="540"/>
        <w:jc w:val="both"/>
        <w:outlineLvl w:val="1"/>
      </w:pPr>
      <w:r>
        <w:t>2. Требования к оформлению и эксплуатации витрин потребительского рынка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ind w:firstLine="540"/>
        <w:jc w:val="both"/>
      </w:pPr>
      <w:r>
        <w:t>2.1. Витрина - остекленная часть фасадов зданий, предназначенная для размещения информации о товарах и услугах.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lastRenderedPageBreak/>
        <w:t>2.2. Общими требованиями, предъявляемыми к оформлению витрин, являются: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- комплексный характер в соответствии с общим архитектурным и цветовым решением фасада;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- надлежащее качество ремонтных, монтажных, отделочных работ, используемых материалов и конструкций;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- устройство и эксплуатация без ущерба для технического состояния и внешнего вида фасада здания.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2.3. Оформление витрин должно иметь комплексный характер, единое цветовое решение, высокое качество художественного решения и исполнения.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2.4. В витрине рекомендуется размещать информацию о реализуемых в данном предприятии товарах и услугах, изобразительные элементы, раскрывающие профиль предприятия и соответствующие его фирменному наименованию, элементы декоративного оформления, праздничное иллюминированное дополнительное оформление с учетом государственных и районных (городских, сельских) праздников. Допускается устройство и размещение художественно-декоративных экспозиций в витражах. Предприятия должны учитывать сменную сезонную экспозицию.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2.5. При праздничном оформлении витрин предприятия должны учитывать общее концептуальное оформление улиц города в единой цветовой гамме и стилистике, единую направленность иллюминированного решения.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2.6. Крупные торговые предприятия (торговые центры, супермаркеты, рынки и т.д.) самостоятельно прорабатывают индивидуальное решение праздничного оформления объекта.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2.7. При подготовке витрин к декорированию и во время проведения работ по оформлению витрины должны быть задрапированы с внутренней стороны до полной готовности к демонстрации. При невозможности устройства внутреннего драпировочного укрытия используются внешние конструкции, выполненные на современном эстетическом и техническом уровне. Витрины должны быть чистыми, своевременно очищаться от загрязнений.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2.8. Защитные устройства (решетки, рольставни) должны быть оформлены в едином стиле и соответствовать архитектурно-градостроительному облику фасада зданий, содержаться в надлежащем состоянии.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lastRenderedPageBreak/>
        <w:t>2.9. Запрещается заклеивать витрины пленкой, размещать рекламную информацию, вывески, наклейки, подвески, рекламу на окнах.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2.10. Использование светодинамических эффектов (мигания, бегущей строки и т.п.) разрешается только для зрелищно-развлекательных объектов.</w:t>
      </w:r>
    </w:p>
    <w:p w:rsidR="00BB4EA5" w:rsidRDefault="00BB4EA5">
      <w:pPr>
        <w:pStyle w:val="ConsPlusNormal"/>
        <w:spacing w:before="280"/>
        <w:ind w:firstLine="540"/>
        <w:jc w:val="both"/>
      </w:pPr>
      <w:r>
        <w:t>2.11. Предприятия должны следить за техническим и эстетическим состоянием витрин.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right"/>
      </w:pPr>
      <w:r>
        <w:t>Директор</w:t>
      </w:r>
    </w:p>
    <w:p w:rsidR="00BB4EA5" w:rsidRDefault="00BB4EA5">
      <w:pPr>
        <w:pStyle w:val="ConsPlusNormal"/>
        <w:jc w:val="right"/>
      </w:pPr>
      <w:r>
        <w:t>Департамента архитектуры</w:t>
      </w:r>
    </w:p>
    <w:p w:rsidR="00BB4EA5" w:rsidRDefault="00BB4EA5">
      <w:pPr>
        <w:pStyle w:val="ConsPlusNormal"/>
        <w:jc w:val="right"/>
      </w:pPr>
      <w:r>
        <w:t>и градостроительства</w:t>
      </w:r>
    </w:p>
    <w:p w:rsidR="00BB4EA5" w:rsidRDefault="00BB4EA5">
      <w:pPr>
        <w:pStyle w:val="ConsPlusNormal"/>
        <w:jc w:val="right"/>
      </w:pPr>
      <w:r>
        <w:t>Л.В.ТИХОНОВА</w:t>
      </w: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jc w:val="both"/>
      </w:pPr>
    </w:p>
    <w:p w:rsidR="00BB4EA5" w:rsidRDefault="00BB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080" w:rsidRDefault="001D5080"/>
    <w:sectPr w:rsidR="001D5080" w:rsidSect="00F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EA5"/>
    <w:rsid w:val="00052C42"/>
    <w:rsid w:val="001056DD"/>
    <w:rsid w:val="001C2BD8"/>
    <w:rsid w:val="001D5080"/>
    <w:rsid w:val="001F245D"/>
    <w:rsid w:val="001F3D37"/>
    <w:rsid w:val="002E3ADF"/>
    <w:rsid w:val="0034408D"/>
    <w:rsid w:val="004A064F"/>
    <w:rsid w:val="005B1707"/>
    <w:rsid w:val="00876E88"/>
    <w:rsid w:val="008952EE"/>
    <w:rsid w:val="00934A73"/>
    <w:rsid w:val="00942D75"/>
    <w:rsid w:val="00997F66"/>
    <w:rsid w:val="00A4034E"/>
    <w:rsid w:val="00A83E85"/>
    <w:rsid w:val="00BB4EA5"/>
    <w:rsid w:val="00C106B5"/>
    <w:rsid w:val="00C34FC2"/>
    <w:rsid w:val="00C94098"/>
    <w:rsid w:val="00CE3F94"/>
    <w:rsid w:val="00D97097"/>
    <w:rsid w:val="00E20641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BB4EA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BB4EA5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B4EA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AC90881285DC1EDE5C41BBDA529BAD1DF3337F73372071E82243D9FBE37ECB18BA9B29C04A6213DFC394CCBE1DDE5F6t5B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AC90881285DC1EDE5C41BBDA529BAD1DF3337FE36750E1F8B793797E73BEEB684F6B78915FE2D34EA264CD4FDDFE4tFB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AC90881285DC1EDE5DA16ABC977BFD4D76D38F1347A514BD4226AC0EE31B9E3CBF7EBCC48ED2D3DEA254DCBtFB6F" TargetMode="External"/><Relationship Id="rId11" Type="http://schemas.openxmlformats.org/officeDocument/2006/relationships/hyperlink" Target="consultantplus://offline/ref=D50AC90881285DC1EDE5C41BBDA529BAD1DF3337F73376051F85243D9FBE37ECB18BA9B28E04FE2D3CF4274CCAF48BB4B303BD15568DD5D6461F799Dt5B6F" TargetMode="External"/><Relationship Id="rId5" Type="http://schemas.openxmlformats.org/officeDocument/2006/relationships/hyperlink" Target="consultantplus://offline/ref=D50AC90881285DC1EDE5C41BBDA529BAD1DF3337F73376051F85243D9FBE37ECB18BA9B28E04FE2D3CF4274DCCF48BB4B303BD15568DD5D6461F799Dt5B6F" TargetMode="External"/><Relationship Id="rId10" Type="http://schemas.openxmlformats.org/officeDocument/2006/relationships/hyperlink" Target="consultantplus://offline/ref=D50AC90881285DC1EDE5C41BBDA529BAD1DF3337F73376051F85243D9FBE37ECB18BA9B28E04FE2D3CF4274DC3F48BB4B303BD15568DD5D6461F799Dt5B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0AC90881285DC1EDE5C41BBDA529BAD1DF3337F73376051F85243D9FBE37ECB18BA9B28E04FE2D3CF4274DCDF48BB4B303BD15568DD5D6461F799Dt5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2019-11-18T05:01:00Z</dcterms:created>
  <dcterms:modified xsi:type="dcterms:W3CDTF">2019-11-18T05:03:00Z</dcterms:modified>
</cp:coreProperties>
</file>